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 WEST FLOW Customer Agreement</w:t>
      </w:r>
    </w:p>
    <w:p>
      <w:r>
        <w:rPr>
          <w:b/>
        </w:rPr>
        <w:t>Hosted software subscription and data processing agreement</w:t>
      </w:r>
    </w:p>
    <w:p>
      <w:r>
        <w:rPr>
          <w:b/>
          <w:color w:val="52266A"/>
        </w:rPr>
        <w:t>DRAFT FOR AUSTRALIAN LEGAL REVIEW - NOT FOR CUSTOMER EXECUTION</w:t>
      </w:r>
    </w:p>
    <w:p>
      <w:r>
        <w:t>This agreement sets out the proposed terms on which Care West Pty Ltd will provide CARE WEST FLOW to an NDIS provider or other approved organisation. It must be approved by an Australian technology and privacy solicitor before it is issued for signature.</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c>
          <w:tcPr>
            <w:tcW w:type="dxa" w:w="4939"/>
            <w:shd w:fill="F3ECF7"/>
            <w:tcMar>
              <w:top w:w="120" w:type="dxa"/>
              <w:start w:w="120" w:type="dxa"/>
              <w:bottom w:w="120" w:type="dxa"/>
              <w:end w:w="120" w:type="dxa"/>
            </w:tcMar>
          </w:tcPr>
          <w:p>
            <w:r>
              <w:rPr>
                <w:b/>
              </w:rPr>
              <w:t>Provider</w:t>
            </w:r>
          </w:p>
        </w:tc>
        <w:tc>
          <w:tcPr>
            <w:tcW w:type="dxa" w:w="4939"/>
            <w:tcMar>
              <w:top w:w="120" w:type="dxa"/>
              <w:start w:w="120" w:type="dxa"/>
              <w:bottom w:w="120" w:type="dxa"/>
              <w:end w:w="120" w:type="dxa"/>
            </w:tcMar>
          </w:tcPr>
          <w:p>
            <w:r>
              <w:t>Care West Pty Ltd</w:t>
            </w:r>
          </w:p>
        </w:tc>
      </w:tr>
      <w:tr>
        <w:tc>
          <w:tcPr>
            <w:tcW w:type="dxa" w:w="4939"/>
            <w:shd w:fill="F3ECF7"/>
            <w:tcMar>
              <w:top w:w="120" w:type="dxa"/>
              <w:start w:w="120" w:type="dxa"/>
              <w:bottom w:w="120" w:type="dxa"/>
              <w:end w:w="120" w:type="dxa"/>
            </w:tcMar>
          </w:tcPr>
          <w:p>
            <w:r>
              <w:rPr>
                <w:b/>
              </w:rPr>
              <w:t>ABN and ACN</w:t>
            </w:r>
          </w:p>
        </w:tc>
        <w:tc>
          <w:tcPr>
            <w:tcW w:type="dxa" w:w="4939"/>
            <w:tcMar>
              <w:top w:w="120" w:type="dxa"/>
              <w:start w:w="120" w:type="dxa"/>
              <w:bottom w:w="120" w:type="dxa"/>
              <w:end w:w="120" w:type="dxa"/>
            </w:tcMar>
          </w:tcPr>
          <w:p>
            <w:r>
              <w:t>ABN 73 127 994 673 · ACN 661 444 382</w:t>
            </w:r>
          </w:p>
        </w:tc>
      </w:tr>
      <w:tr>
        <w:tc>
          <w:tcPr>
            <w:tcW w:type="dxa" w:w="4939"/>
            <w:shd w:fill="F3ECF7"/>
            <w:tcMar>
              <w:top w:w="120" w:type="dxa"/>
              <w:start w:w="120" w:type="dxa"/>
              <w:bottom w:w="120" w:type="dxa"/>
              <w:end w:w="120" w:type="dxa"/>
            </w:tcMar>
          </w:tcPr>
          <w:p>
            <w:r>
              <w:rPr>
                <w:b/>
              </w:rPr>
              <w:t>Address</w:t>
            </w:r>
          </w:p>
        </w:tc>
        <w:tc>
          <w:tcPr>
            <w:tcW w:type="dxa" w:w="4939"/>
            <w:tcMar>
              <w:top w:w="120" w:type="dxa"/>
              <w:start w:w="120" w:type="dxa"/>
              <w:bottom w:w="120" w:type="dxa"/>
              <w:end w:w="120" w:type="dxa"/>
            </w:tcMar>
          </w:tcPr>
          <w:p>
            <w:r>
              <w:t>60 Griffith Street, Maddingley VIC 3340</w:t>
            </w:r>
          </w:p>
        </w:tc>
      </w:tr>
      <w:tr>
        <w:tc>
          <w:tcPr>
            <w:tcW w:type="dxa" w:w="4939"/>
            <w:shd w:fill="F3ECF7"/>
            <w:tcMar>
              <w:top w:w="120" w:type="dxa"/>
              <w:start w:w="120" w:type="dxa"/>
              <w:bottom w:w="120" w:type="dxa"/>
              <w:end w:w="120" w:type="dxa"/>
            </w:tcMar>
          </w:tcPr>
          <w:p>
            <w:r>
              <w:rPr>
                <w:b/>
              </w:rPr>
              <w:t>Contact</w:t>
            </w:r>
          </w:p>
        </w:tc>
        <w:tc>
          <w:tcPr>
            <w:tcW w:type="dxa" w:w="4939"/>
            <w:tcMar>
              <w:top w:w="120" w:type="dxa"/>
              <w:start w:w="120" w:type="dxa"/>
              <w:bottom w:w="120" w:type="dxa"/>
              <w:end w:w="120" w:type="dxa"/>
            </w:tcMar>
          </w:tcPr>
          <w:p>
            <w:r>
              <w:t>admin@carewest.com.au · 03 4301 4152</w:t>
            </w:r>
          </w:p>
        </w:tc>
      </w:tr>
      <w:tr>
        <w:tc>
          <w:tcPr>
            <w:tcW w:type="dxa" w:w="4939"/>
            <w:shd w:fill="F3ECF7"/>
            <w:tcMar>
              <w:top w:w="120" w:type="dxa"/>
              <w:start w:w="120" w:type="dxa"/>
              <w:bottom w:w="120" w:type="dxa"/>
              <w:end w:w="120" w:type="dxa"/>
            </w:tcMar>
          </w:tcPr>
          <w:p>
            <w:r>
              <w:rPr>
                <w:b/>
              </w:rPr>
              <w:t>Customer</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Effective date</w:t>
            </w:r>
          </w:p>
        </w:tc>
        <w:tc>
          <w:tcPr>
            <w:tcW w:type="dxa" w:w="4939"/>
            <w:tcMar>
              <w:top w:w="120" w:type="dxa"/>
              <w:start w:w="120" w:type="dxa"/>
              <w:bottom w:w="120" w:type="dxa"/>
              <w:end w:w="120" w:type="dxa"/>
            </w:tcMar>
          </w:tcPr>
          <w:p>
            <w:r>
              <w:t>____ / ____ / ______</w:t>
            </w:r>
          </w:p>
        </w:tc>
      </w:tr>
    </w:tbl>
    <w:p>
      <w:pPr>
        <w:pStyle w:val="Heading1"/>
      </w:pPr>
      <w:r>
        <w:t>1 Parties and authority</w:t>
      </w:r>
    </w:p>
    <w:p>
      <w:r>
        <w:t>Care West Pty Ltd supplies the hosted CARE WEST FLOW service. The Customer is the legal entity identified in the signed Order Form.</w:t>
      </w:r>
    </w:p>
    <w:p>
      <w:r>
        <w:t>Each person signing warrants that they are authorised to bind the party shown beside their signature.</w:t>
      </w:r>
    </w:p>
    <w:p>
      <w:r>
        <w:t>The signed Order Form, these terms and the schedules form one agreement. The Order Form prevails for commercial details and the Data Processing Schedule prevails for personal information.</w:t>
      </w:r>
    </w:p>
    <w:p>
      <w:pPr>
        <w:pStyle w:val="Heading1"/>
      </w:pPr>
      <w:r>
        <w:t>2 Service and customer responsibilities</w:t>
      </w:r>
    </w:p>
    <w:p>
      <w:r>
        <w:t>CARE WEST FLOW supports participant and staff records, rostering, case notes, incidents, documents, travel, timesheets, funding monitoring and billing administration. Included functions are recorded in the Order Form.</w:t>
      </w:r>
    </w:p>
    <w:p>
      <w:r>
        <w:t>The service is an administrative tool. It does not provide legal, clinical, accounting, payroll, workplace-relations or NDIS compliance advice and is not an emergency service.</w:t>
      </w:r>
    </w:p>
    <w:p>
      <w:r>
        <w:t>The Customer remains responsible for:</w:t>
      </w:r>
    </w:p>
    <w:p>
      <w:pPr>
        <w:pStyle w:val="ListBullet"/>
      </w:pPr>
      <w:r>
        <w:t>lawfully collect and use participant, representative and worker information;</w:t>
      </w:r>
    </w:p>
    <w:p>
      <w:pPr>
        <w:pStyle w:val="ListBullet"/>
      </w:pPr>
      <w:r>
        <w:t>make clinical, safeguarding, medication, emergency and workforce decisions;</w:t>
      </w:r>
    </w:p>
    <w:p>
      <w:pPr>
        <w:pStyle w:val="ListBullet"/>
      </w:pPr>
      <w:r>
        <w:t>verify rosters, service records, rates, invoices and claims;</w:t>
      </w:r>
    </w:p>
    <w:p>
      <w:pPr>
        <w:pStyle w:val="ListBullet"/>
      </w:pPr>
      <w:r>
        <w:t>verify current NDIS rules, price limits, awards and public holidays;</w:t>
      </w:r>
    </w:p>
    <w:p>
      <w:pPr>
        <w:pStyle w:val="ListBullet"/>
      </w:pPr>
      <w:r>
        <w:t>apply least-privilege access and promptly remove departed users; and</w:t>
      </w:r>
    </w:p>
    <w:p>
      <w:pPr>
        <w:pStyle w:val="ListBullet"/>
      </w:pPr>
      <w:r>
        <w:t>maintain required policies, consents, service agreements, registrations and insurance.</w:t>
      </w:r>
    </w:p>
    <w:p>
      <w:pPr>
        <w:pStyle w:val="Heading1"/>
      </w:pPr>
      <w:r>
        <w:t>3 Accounts and authorised users</w:t>
      </w:r>
    </w:p>
    <w:p>
      <w:r>
        <w:t>Accounts are personal and must not be shared. The Customer must keep its authorised-user list current and promptly report suspected compromise.</w:t>
      </w:r>
    </w:p>
    <w:p>
      <w:r>
        <w:t>Role permissions limit access, but the Customer is responsible for assigning correct roles and reviewing access regularly.</w:t>
      </w:r>
    </w:p>
    <w:p>
      <w:r>
        <w:t>Care West Pty Ltd may reasonably suspend access to protect people, data or the service, investigate unlawful use or respond to material breach, with notice where practicable.</w:t>
      </w:r>
    </w:p>
    <w:p>
      <w:pPr>
        <w:pStyle w:val="Heading1"/>
      </w:pPr>
      <w:r>
        <w:t>4 Fees GST and subscription</w:t>
      </w:r>
    </w:p>
    <w:p>
      <w:r>
        <w:t>The subscription plan, billing cycle, trial, participant limit and fees are stated in the Order Form. Unless expressly stated otherwise, amounts exclude GST.</w:t>
      </w:r>
    </w:p>
    <w:p>
      <w:r>
        <w:t>A payment method may be charged only after paid subscriptions are enabled and the Customer has completed a payment authorisation.</w:t>
      </w:r>
    </w:p>
    <w:p>
      <w:r>
        <w:t>Renewal, price change, late payment, suspension and cancellation provisions must be completed in the approved version and must not operate unfairly or remove non-excludable rights.</w:t>
      </w:r>
    </w:p>
    <w:p>
      <w:pPr>
        <w:pStyle w:val="Heading1"/>
      </w:pPr>
      <w:r>
        <w:t>5 Customer Data and confidentiality</w:t>
      </w:r>
    </w:p>
    <w:p>
      <w:r>
        <w:t>The Customer owns Customer Data and grants Care West Pty Ltd a limited right to host, copy, back up, transmit and process it only to provide, secure and support the service, follow lawful instructions and comply with law.</w:t>
      </w:r>
    </w:p>
    <w:p>
      <w:r>
        <w:t>Each party must protect the other party's confidential information and disclose it only to authorised personnel, professional advisers, contracted providers or where law requires.</w:t>
      </w:r>
    </w:p>
    <w:p>
      <w:r>
        <w:t>The Customer must not enter information it is not authorised to collect or information excessive for the intended care or employment purpose.</w:t>
      </w:r>
    </w:p>
    <w:p>
      <w:pPr>
        <w:pStyle w:val="Heading1"/>
      </w:pPr>
      <w:r>
        <w:t>6 Privacy and data processing</w:t>
      </w:r>
    </w:p>
    <w:p>
      <w:r>
        <w:t>Each party must comply with privacy laws applying to it. Health and disability information must be treated as highly sensitive.</w:t>
      </w:r>
    </w:p>
    <w:p>
      <w:r>
        <w:t>The Customer determines why and how its operational records are collected and used. Care West Pty Ltd processes them as service provider on documented lawful instructions, except where law requires otherwise.</w:t>
      </w:r>
    </w:p>
    <w:p>
      <w:r>
        <w:t>Care West Pty Ltd will maintain reasonable safeguards, restrict personnel access and bind approved subprocessors to suitable confidentiality, privacy and security obligations.</w:t>
      </w:r>
    </w:p>
    <w:p>
      <w:r>
        <w:t>Material subprocessor changes and likely overseas disclosure arrangements must be notified as stated in the final approved agreement.</w:t>
      </w:r>
    </w:p>
    <w:p>
      <w:r>
        <w:t>Each party will reasonably assist with access, correction, complaints and data-breach obligations relating to Customer Data.</w:t>
      </w:r>
    </w:p>
    <w:p>
      <w:pPr>
        <w:pStyle w:val="Heading1"/>
      </w:pPr>
      <w:r>
        <w:t>7 Security incidents</w:t>
      </w:r>
    </w:p>
    <w:p>
      <w:r>
        <w:t>Each party must promptly notify the other of a suspected security incident affecting Customer Data and preserve relevant evidence.</w:t>
      </w:r>
    </w:p>
    <w:p>
      <w:r>
        <w:t>Care West Pty Ltd will investigate, contain and remediate confirmed incidents and provide information reasonably needed for statutory assessment. Each party retains its own notification responsibility.</w:t>
      </w:r>
    </w:p>
    <w:p>
      <w:r>
        <w:t>Notice timeframes, severity definitions and response contacts must be confirmed through legal and cyber-security review.</w:t>
      </w:r>
    </w:p>
    <w:p>
      <w:pPr>
        <w:pStyle w:val="Heading1"/>
      </w:pPr>
      <w:r>
        <w:t>8 Availability support and changes</w:t>
      </w:r>
    </w:p>
    <w:p>
      <w:r>
        <w:t>Care West Pty Ltd will use reasonable care and skill to operate the service. Planned maintenance, third-party outages, emergency work and events outside reasonable control may affect availability.</w:t>
      </w:r>
    </w:p>
    <w:p>
      <w:r>
        <w:t>Support channels and response targets are stated in the Order Form or support policy. Response targets are not resolution guarantees.</w:t>
      </w:r>
    </w:p>
    <w:p>
      <w:r>
        <w:t>Material adverse service or privacy changes will receive reasonable advance notice where practicable and a fair termination option in the final agreement.</w:t>
      </w:r>
    </w:p>
    <w:p>
      <w:pPr>
        <w:pStyle w:val="Heading1"/>
      </w:pPr>
      <w:r>
        <w:t>9 Intellectual property</w:t>
      </w:r>
    </w:p>
    <w:p>
      <w:r>
        <w:t>Care West Pty Ltd owns CARE WEST FLOW, its software, documentation, branding and improvements, excluding Customer Data and third-party material.</w:t>
      </w:r>
    </w:p>
    <w:p>
      <w:r>
        <w:t>During the subscription, the Customer receives a limited, non-exclusive, non-transferable right for authorised users to access the service for its internal operations.</w:t>
      </w:r>
    </w:p>
    <w:p>
      <w:r>
        <w:t>The Customer must not copy, reverse engineer, interfere with or bypass the service except where a restriction is prohibited by law.</w:t>
      </w:r>
    </w:p>
    <w:p>
      <w:pPr>
        <w:pStyle w:val="Heading1"/>
      </w:pPr>
      <w:r>
        <w:t>10 Consumer guarantees and liability</w:t>
      </w:r>
    </w:p>
    <w:p>
      <w:r>
        <w:t>Each party warrants it has authority to enter the agreement. Care West Pty Ltd warrants it will provide the service with due care and skill.</w:t>
      </w:r>
    </w:p>
    <w:p>
      <w:r>
        <w:t>Nothing excludes, restricts or modifies a guarantee, right or remedy that cannot lawfully be excluded, including under the Australian Consumer Law.</w:t>
      </w:r>
    </w:p>
    <w:p>
      <w:r>
        <w:t>Exclusions, caps, indemnities, consequential-loss provisions and insurance requirements must be approved by an Australian solicitor. No limitation is agreed by this draft.</w:t>
      </w:r>
    </w:p>
    <w:p>
      <w:pPr>
        <w:pStyle w:val="Heading1"/>
      </w:pPr>
      <w:r>
        <w:t>11 Ending the service and data return</w:t>
      </w:r>
    </w:p>
    <w:p>
      <w:r>
        <w:t>The term begins on the Effective Date and continues for the subscription period unless ended under the final approved termination terms.</w:t>
      </w:r>
    </w:p>
    <w:p>
      <w:r>
        <w:t>The final agreement must provide reasonable notice, fair cure periods, urgent rights for serious security or unlawful conduct and the Customer's data-export rights.</w:t>
      </w:r>
    </w:p>
    <w:p>
      <w:r>
        <w:t>After termination, Customer Data will be available for an agreed export period, then deleted or de-identified subject to legal retention and documented backup expiry. The Customer must protect downloaded exports.</w:t>
      </w:r>
    </w:p>
    <w:p>
      <w:pPr>
        <w:pStyle w:val="Heading1"/>
      </w:pPr>
      <w:r>
        <w:t>12 General</w:t>
      </w:r>
    </w:p>
    <w:p>
      <w:r>
        <w:t>The parties will first try to resolve disputes through good-faith discussions, except where urgent relief is required.</w:t>
      </w:r>
    </w:p>
    <w:p>
      <w:r>
        <w:t>Victorian law governs the agreement. The parties submit to Victorian courts and courts hearing appeals from them.</w:t>
      </w:r>
    </w:p>
    <w:p>
      <w:r>
        <w:t>Notices, assignment, subcontracting, variation, severability, waiver and entire-agreement provisions must be confirmed in the final solicitor-approved form.</w:t>
      </w:r>
    </w:p>
    <w:p>
      <w:r>
        <w:br w:type="page"/>
      </w:r>
    </w:p>
    <w:p>
      <w:pPr>
        <w:pStyle w:val="Title"/>
      </w:pPr>
      <w:r>
        <w:t>Schedule 1 Customer Order Form</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c>
          <w:tcPr>
            <w:tcW w:type="dxa" w:w="4939"/>
            <w:shd w:fill="F3ECF7"/>
            <w:tcMar>
              <w:top w:w="120" w:type="dxa"/>
              <w:start w:w="120" w:type="dxa"/>
              <w:bottom w:w="120" w:type="dxa"/>
              <w:end w:w="120" w:type="dxa"/>
            </w:tcMar>
          </w:tcPr>
          <w:p>
            <w:r>
              <w:rPr>
                <w:b/>
              </w:rPr>
              <w:t>Customer legal name</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ABN or ACN</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Registered address</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Primary administrator</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Administrator email</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Privacy contact</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Security incident contact</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Subscription plan</w:t>
            </w:r>
          </w:p>
        </w:tc>
        <w:tc>
          <w:tcPr>
            <w:tcW w:type="dxa" w:w="4939"/>
            <w:tcMar>
              <w:top w:w="120" w:type="dxa"/>
              <w:start w:w="120" w:type="dxa"/>
              <w:bottom w:w="120" w:type="dxa"/>
              <w:end w:w="120" w:type="dxa"/>
            </w:tcMar>
          </w:tcPr>
          <w:p>
            <w:r>
              <w:t>Starter / Growth / Enterprise / Other</w:t>
            </w:r>
          </w:p>
        </w:tc>
      </w:tr>
      <w:tr>
        <w:tc>
          <w:tcPr>
            <w:tcW w:type="dxa" w:w="4939"/>
            <w:shd w:fill="F3ECF7"/>
            <w:tcMar>
              <w:top w:w="120" w:type="dxa"/>
              <w:start w:w="120" w:type="dxa"/>
              <w:bottom w:w="120" w:type="dxa"/>
              <w:end w:w="120" w:type="dxa"/>
            </w:tcMar>
          </w:tcPr>
          <w:p>
            <w:r>
              <w:rPr>
                <w:b/>
              </w:rPr>
              <w:t>Billing cycle</w:t>
            </w:r>
          </w:p>
        </w:tc>
        <w:tc>
          <w:tcPr>
            <w:tcW w:type="dxa" w:w="4939"/>
            <w:tcMar>
              <w:top w:w="120" w:type="dxa"/>
              <w:start w:w="120" w:type="dxa"/>
              <w:bottom w:w="120" w:type="dxa"/>
              <w:end w:w="120" w:type="dxa"/>
            </w:tcMar>
          </w:tcPr>
          <w:p>
            <w:r>
              <w:t>Monthly / Yearly</w:t>
            </w:r>
          </w:p>
        </w:tc>
      </w:tr>
      <w:tr>
        <w:tc>
          <w:tcPr>
            <w:tcW w:type="dxa" w:w="4939"/>
            <w:shd w:fill="F3ECF7"/>
            <w:tcMar>
              <w:top w:w="120" w:type="dxa"/>
              <w:start w:w="120" w:type="dxa"/>
              <w:bottom w:w="120" w:type="dxa"/>
              <w:end w:w="120" w:type="dxa"/>
            </w:tcMar>
          </w:tcPr>
          <w:p>
            <w:r>
              <w:rPr>
                <w:b/>
              </w:rPr>
              <w:t>Participant limit</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Trial dates</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Subscription start</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Fees excluding GST</w:t>
            </w:r>
          </w:p>
        </w:tc>
        <w:tc>
          <w:tcPr>
            <w:tcW w:type="dxa" w:w="4939"/>
            <w:tcMar>
              <w:top w:w="120" w:type="dxa"/>
              <w:start w:w="120" w:type="dxa"/>
              <w:bottom w:w="120" w:type="dxa"/>
              <w:end w:w="120" w:type="dxa"/>
            </w:tcMar>
          </w:tcPr>
          <w:p>
            <w:r>
              <w:t>____________________________________________</w:t>
            </w:r>
          </w:p>
        </w:tc>
      </w:tr>
      <w:tr>
        <w:tc>
          <w:tcPr>
            <w:tcW w:type="dxa" w:w="4939"/>
            <w:shd w:fill="F3ECF7"/>
            <w:tcMar>
              <w:top w:w="120" w:type="dxa"/>
              <w:start w:w="120" w:type="dxa"/>
              <w:bottom w:w="120" w:type="dxa"/>
              <w:end w:w="120" w:type="dxa"/>
            </w:tcMar>
          </w:tcPr>
          <w:p>
            <w:r>
              <w:rPr>
                <w:b/>
              </w:rPr>
              <w:t>Special conditions</w:t>
            </w:r>
          </w:p>
        </w:tc>
        <w:tc>
          <w:tcPr>
            <w:tcW w:type="dxa" w:w="4939"/>
            <w:tcMar>
              <w:top w:w="120" w:type="dxa"/>
              <w:start w:w="120" w:type="dxa"/>
              <w:bottom w:w="120" w:type="dxa"/>
              <w:end w:w="120" w:type="dxa"/>
            </w:tcMar>
          </w:tcPr>
          <w:p>
            <w:r>
              <w:t>None unless written here</w:t>
            </w:r>
          </w:p>
        </w:tc>
      </w:tr>
    </w:tbl>
    <w:p>
      <w:r>
        <w:br w:type="page"/>
      </w:r>
    </w:p>
    <w:p>
      <w:pPr>
        <w:pStyle w:val="Title"/>
      </w:pPr>
      <w:r>
        <w:t>Schedule 2 Security Responsibilities</w:t>
      </w:r>
    </w:p>
    <w:tbl>
      <w:tblPr>
        <w:tblW w:type="auto" w:w="0"/>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93"/>
        <w:gridCol w:w="3293"/>
        <w:gridCol w:w="3293"/>
      </w:tblGrid>
      <w:tr>
        <w:tc>
          <w:tcPr>
            <w:tcW w:type="dxa" w:w="3293"/>
            <w:shd w:fill="52266A"/>
          </w:tcPr>
          <w:p>
            <w:r>
              <w:rPr>
                <w:b/>
                <w:color w:val="FFFFFF"/>
              </w:rPr>
              <w:t>Control</w:t>
            </w:r>
          </w:p>
        </w:tc>
        <w:tc>
          <w:tcPr>
            <w:tcW w:type="dxa" w:w="3293"/>
            <w:shd w:fill="52266A"/>
          </w:tcPr>
          <w:p>
            <w:r>
              <w:rPr>
                <w:b/>
                <w:color w:val="FFFFFF"/>
              </w:rPr>
              <w:t>CARE WEST FLOW</w:t>
            </w:r>
          </w:p>
        </w:tc>
        <w:tc>
          <w:tcPr>
            <w:tcW w:type="dxa" w:w="3293"/>
            <w:shd w:fill="52266A"/>
          </w:tcPr>
          <w:p>
            <w:r>
              <w:rPr>
                <w:b/>
                <w:color w:val="FFFFFF"/>
              </w:rPr>
              <w:t>Customer</w:t>
            </w:r>
          </w:p>
        </w:tc>
      </w:tr>
      <w:tr>
        <w:tc>
          <w:tcPr>
            <w:tcW w:type="dxa" w:w="3293"/>
            <w:tcMar>
              <w:top w:w="120" w:type="dxa"/>
              <w:start w:w="120" w:type="dxa"/>
              <w:bottom w:w="120" w:type="dxa"/>
              <w:end w:w="120" w:type="dxa"/>
            </w:tcMar>
          </w:tcPr>
          <w:p>
            <w:r>
              <w:t>Access</w:t>
            </w:r>
          </w:p>
        </w:tc>
        <w:tc>
          <w:tcPr>
            <w:tcW w:type="dxa" w:w="3293"/>
            <w:tcMar>
              <w:top w:w="120" w:type="dxa"/>
              <w:start w:w="120" w:type="dxa"/>
              <w:bottom w:w="120" w:type="dxa"/>
              <w:end w:w="120" w:type="dxa"/>
            </w:tcMar>
          </w:tcPr>
          <w:p>
            <w:r>
              <w:t>Provide role-based controls</w:t>
            </w:r>
          </w:p>
        </w:tc>
        <w:tc>
          <w:tcPr>
            <w:tcW w:type="dxa" w:w="3293"/>
            <w:tcMar>
              <w:top w:w="120" w:type="dxa"/>
              <w:start w:w="120" w:type="dxa"/>
              <w:bottom w:w="120" w:type="dxa"/>
              <w:end w:w="120" w:type="dxa"/>
            </w:tcMar>
          </w:tcPr>
          <w:p>
            <w:r>
              <w:t>Approve users and remove access promptly</w:t>
            </w:r>
          </w:p>
        </w:tc>
      </w:tr>
      <w:tr>
        <w:tc>
          <w:tcPr>
            <w:tcW w:type="dxa" w:w="3293"/>
            <w:tcMar>
              <w:top w:w="120" w:type="dxa"/>
              <w:start w:w="120" w:type="dxa"/>
              <w:bottom w:w="120" w:type="dxa"/>
              <w:end w:w="120" w:type="dxa"/>
            </w:tcMar>
          </w:tcPr>
          <w:p>
            <w:r>
              <w:t>Authentication</w:t>
            </w:r>
          </w:p>
        </w:tc>
        <w:tc>
          <w:tcPr>
            <w:tcW w:type="dxa" w:w="3293"/>
            <w:tcMar>
              <w:top w:w="120" w:type="dxa"/>
              <w:start w:w="120" w:type="dxa"/>
              <w:bottom w:w="120" w:type="dxa"/>
              <w:end w:w="120" w:type="dxa"/>
            </w:tcMar>
          </w:tcPr>
          <w:p>
            <w:r>
              <w:t>Maintain supported sign-in</w:t>
            </w:r>
          </w:p>
        </w:tc>
        <w:tc>
          <w:tcPr>
            <w:tcW w:type="dxa" w:w="3293"/>
            <w:tcMar>
              <w:top w:w="120" w:type="dxa"/>
              <w:start w:w="120" w:type="dxa"/>
              <w:bottom w:w="120" w:type="dxa"/>
              <w:end w:w="120" w:type="dxa"/>
            </w:tcMar>
          </w:tcPr>
          <w:p>
            <w:r>
              <w:t>Protect credentials and devices</w:t>
            </w:r>
          </w:p>
        </w:tc>
      </w:tr>
      <w:tr>
        <w:tc>
          <w:tcPr>
            <w:tcW w:type="dxa" w:w="3293"/>
            <w:tcMar>
              <w:top w:w="120" w:type="dxa"/>
              <w:start w:w="120" w:type="dxa"/>
              <w:bottom w:w="120" w:type="dxa"/>
              <w:end w:w="120" w:type="dxa"/>
            </w:tcMar>
          </w:tcPr>
          <w:p>
            <w:r>
              <w:t>Data</w:t>
            </w:r>
          </w:p>
        </w:tc>
        <w:tc>
          <w:tcPr>
            <w:tcW w:type="dxa" w:w="3293"/>
            <w:tcMar>
              <w:top w:w="120" w:type="dxa"/>
              <w:start w:w="120" w:type="dxa"/>
              <w:bottom w:w="120" w:type="dxa"/>
              <w:end w:w="120" w:type="dxa"/>
            </w:tcMar>
          </w:tcPr>
          <w:p>
            <w:r>
              <w:t>Apply platform safeguards</w:t>
            </w:r>
          </w:p>
        </w:tc>
        <w:tc>
          <w:tcPr>
            <w:tcW w:type="dxa" w:w="3293"/>
            <w:tcMar>
              <w:top w:w="120" w:type="dxa"/>
              <w:start w:w="120" w:type="dxa"/>
              <w:bottom w:w="120" w:type="dxa"/>
              <w:end w:w="120" w:type="dxa"/>
            </w:tcMar>
          </w:tcPr>
          <w:p>
            <w:r>
              <w:t>Collect lawfully and protect exports</w:t>
            </w:r>
          </w:p>
        </w:tc>
      </w:tr>
      <w:tr>
        <w:tc>
          <w:tcPr>
            <w:tcW w:type="dxa" w:w="3293"/>
            <w:tcMar>
              <w:top w:w="120" w:type="dxa"/>
              <w:start w:w="120" w:type="dxa"/>
              <w:bottom w:w="120" w:type="dxa"/>
              <w:end w:w="120" w:type="dxa"/>
            </w:tcMar>
          </w:tcPr>
          <w:p>
            <w:r>
              <w:t>Recovery</w:t>
            </w:r>
          </w:p>
        </w:tc>
        <w:tc>
          <w:tcPr>
            <w:tcW w:type="dxa" w:w="3293"/>
            <w:tcMar>
              <w:top w:w="120" w:type="dxa"/>
              <w:start w:w="120" w:type="dxa"/>
              <w:bottom w:w="120" w:type="dxa"/>
              <w:end w:w="120" w:type="dxa"/>
            </w:tcMar>
          </w:tcPr>
          <w:p>
            <w:r>
              <w:t>Maintain service recovery processes</w:t>
            </w:r>
          </w:p>
        </w:tc>
        <w:tc>
          <w:tcPr>
            <w:tcW w:type="dxa" w:w="3293"/>
            <w:tcMar>
              <w:top w:w="120" w:type="dxa"/>
              <w:start w:w="120" w:type="dxa"/>
              <w:bottom w:w="120" w:type="dxa"/>
              <w:end w:w="120" w:type="dxa"/>
            </w:tcMar>
          </w:tcPr>
          <w:p>
            <w:r>
              <w:t>Maintain care continuity and critical contacts</w:t>
            </w:r>
          </w:p>
        </w:tc>
      </w:tr>
      <w:tr>
        <w:tc>
          <w:tcPr>
            <w:tcW w:type="dxa" w:w="3293"/>
            <w:tcMar>
              <w:top w:w="120" w:type="dxa"/>
              <w:start w:w="120" w:type="dxa"/>
              <w:bottom w:w="120" w:type="dxa"/>
              <w:end w:w="120" w:type="dxa"/>
            </w:tcMar>
          </w:tcPr>
          <w:p>
            <w:r>
              <w:t>Incidents</w:t>
            </w:r>
          </w:p>
        </w:tc>
        <w:tc>
          <w:tcPr>
            <w:tcW w:type="dxa" w:w="3293"/>
            <w:tcMar>
              <w:top w:w="120" w:type="dxa"/>
              <w:start w:w="120" w:type="dxa"/>
              <w:bottom w:w="120" w:type="dxa"/>
              <w:end w:w="120" w:type="dxa"/>
            </w:tcMar>
          </w:tcPr>
          <w:p>
            <w:r>
              <w:t>Investigate platform incidents</w:t>
            </w:r>
          </w:p>
        </w:tc>
        <w:tc>
          <w:tcPr>
            <w:tcW w:type="dxa" w:w="3293"/>
            <w:tcMar>
              <w:top w:w="120" w:type="dxa"/>
              <w:start w:w="120" w:type="dxa"/>
              <w:bottom w:w="120" w:type="dxa"/>
              <w:end w:w="120" w:type="dxa"/>
            </w:tcMar>
          </w:tcPr>
          <w:p>
            <w:r>
              <w:t>Report promptly and assess operational notification duties</w:t>
            </w:r>
          </w:p>
        </w:tc>
      </w:tr>
      <w:tr>
        <w:tc>
          <w:tcPr>
            <w:tcW w:type="dxa" w:w="3293"/>
            <w:tcMar>
              <w:top w:w="120" w:type="dxa"/>
              <w:start w:w="120" w:type="dxa"/>
              <w:bottom w:w="120" w:type="dxa"/>
              <w:end w:w="120" w:type="dxa"/>
            </w:tcMar>
          </w:tcPr>
          <w:p>
            <w:r>
              <w:t>Training</w:t>
            </w:r>
          </w:p>
        </w:tc>
        <w:tc>
          <w:tcPr>
            <w:tcW w:type="dxa" w:w="3293"/>
            <w:tcMar>
              <w:top w:w="120" w:type="dxa"/>
              <w:start w:w="120" w:type="dxa"/>
              <w:bottom w:w="120" w:type="dxa"/>
              <w:end w:w="120" w:type="dxa"/>
            </w:tcMar>
          </w:tcPr>
          <w:p>
            <w:r>
              <w:t>Provide product instructions</w:t>
            </w:r>
          </w:p>
        </w:tc>
        <w:tc>
          <w:tcPr>
            <w:tcW w:type="dxa" w:w="3293"/>
            <w:tcMar>
              <w:top w:w="120" w:type="dxa"/>
              <w:start w:w="120" w:type="dxa"/>
              <w:bottom w:w="120" w:type="dxa"/>
              <w:end w:w="120" w:type="dxa"/>
            </w:tcMar>
          </w:tcPr>
          <w:p>
            <w:r>
              <w:t>Train staff in privacy, safeguarding and correct use</w:t>
            </w:r>
          </w:p>
        </w:tc>
      </w:tr>
    </w:tbl>
    <w:p>
      <w:pPr>
        <w:pStyle w:val="Title"/>
      </w:pPr>
      <w:r>
        <w:t>Schedule 3 Acceptable Use</w:t>
      </w:r>
    </w:p>
    <w:p>
      <w:pPr>
        <w:pStyle w:val="ListBullet"/>
      </w:pPr>
      <w:r>
        <w:t>Use only authorised accounts and workspaces.</w:t>
      </w:r>
    </w:p>
    <w:p>
      <w:pPr>
        <w:pStyle w:val="ListBullet"/>
      </w:pPr>
      <w:r>
        <w:t>Do not share credentials or access another organisation's records.</w:t>
      </w:r>
    </w:p>
    <w:p>
      <w:pPr>
        <w:pStyle w:val="ListBullet"/>
      </w:pPr>
      <w:r>
        <w:t>Do not upload unlawful, malicious or excessive personal information.</w:t>
      </w:r>
    </w:p>
    <w:p>
      <w:pPr>
        <w:pStyle w:val="ListBullet"/>
      </w:pPr>
      <w:r>
        <w:t>Do not fabricate care records, mislead a regulator or make an improper claim.</w:t>
      </w:r>
    </w:p>
    <w:p>
      <w:pPr>
        <w:pStyle w:val="ListBullet"/>
      </w:pPr>
      <w:r>
        <w:t>Do not disable security, probe accounts, distribute malware or interfere with availability.</w:t>
      </w:r>
    </w:p>
    <w:p>
      <w:pPr>
        <w:pStyle w:val="ListBullet"/>
      </w:pPr>
      <w:r>
        <w:t>Do not treat the platform as an emergency or clinical-decision system.</w:t>
      </w:r>
    </w:p>
    <w:p>
      <w:pPr>
        <w:pStyle w:val="ListBullet"/>
      </w:pPr>
      <w:r>
        <w:t>Marketing email and SMS require consent, sender identification, contact details and a working unsubscribe process.</w:t>
      </w:r>
    </w:p>
    <w:p>
      <w:pPr>
        <w:pStyle w:val="ListBullet"/>
      </w:pPr>
      <w:r>
        <w:t>Promptly report mistaken disclosure, lost devices, compromise and inappropriate access.</w:t>
      </w:r>
    </w:p>
    <w:p>
      <w:r>
        <w:br w:type="page"/>
      </w:r>
    </w:p>
    <w:p>
      <w:pPr>
        <w:pStyle w:val="Title"/>
      </w:pPr>
      <w:r>
        <w:t>Schedule 4 Signing</w:t>
      </w:r>
    </w:p>
    <w:p>
      <w:r>
        <w:t>The parties intend to be bound only after this agreement has been legally approved, completed and signed by authorised representatives.</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c>
          <w:tcPr>
            <w:tcW w:type="dxa" w:w="4939"/>
            <w:shd w:fill="F3ECF7"/>
            <w:tcMar>
              <w:top w:w="120" w:type="dxa"/>
              <w:start w:w="120" w:type="dxa"/>
              <w:bottom w:w="120" w:type="dxa"/>
              <w:end w:w="120" w:type="dxa"/>
            </w:tcMar>
          </w:tcPr>
          <w:p>
            <w:r>
              <w:rPr>
                <w:b/>
              </w:rPr>
              <w:t>Signed for Care West Pty Ltd</w:t>
            </w:r>
          </w:p>
        </w:tc>
        <w:tc>
          <w:tcPr>
            <w:tcW w:type="dxa" w:w="4939"/>
            <w:tcMar>
              <w:top w:w="120" w:type="dxa"/>
              <w:start w:w="120" w:type="dxa"/>
              <w:bottom w:w="120" w:type="dxa"/>
              <w:end w:w="120" w:type="dxa"/>
            </w:tcMar>
          </w:tcPr>
          <w:p>
            <w:r>
              <w:t>Signed for the Customer</w:t>
            </w:r>
          </w:p>
        </w:tc>
      </w:tr>
      <w:tr>
        <w:tc>
          <w:tcPr>
            <w:tcW w:type="dxa" w:w="4939"/>
            <w:shd w:fill="F3ECF7"/>
            <w:tcMar>
              <w:top w:w="120" w:type="dxa"/>
              <w:start w:w="120" w:type="dxa"/>
              <w:bottom w:w="120" w:type="dxa"/>
              <w:end w:w="120" w:type="dxa"/>
            </w:tcMar>
          </w:tcPr>
          <w:p>
            <w:r>
              <w:rPr>
                <w:b/>
              </w:rPr>
              <w:t>Name</w:t>
              <w:br/>
              <w:br/>
            </w:r>
          </w:p>
        </w:tc>
        <w:tc>
          <w:tcPr>
            <w:tcW w:type="dxa" w:w="4939"/>
            <w:tcMar>
              <w:top w:w="120" w:type="dxa"/>
              <w:start w:w="120" w:type="dxa"/>
              <w:bottom w:w="120" w:type="dxa"/>
              <w:end w:w="120" w:type="dxa"/>
            </w:tcMar>
          </w:tcPr>
          <w:p>
            <w:r>
              <w:t>Name</w:t>
              <w:br/>
              <w:br/>
            </w:r>
          </w:p>
        </w:tc>
      </w:tr>
      <w:tr>
        <w:tc>
          <w:tcPr>
            <w:tcW w:type="dxa" w:w="4939"/>
            <w:shd w:fill="F3ECF7"/>
            <w:tcMar>
              <w:top w:w="120" w:type="dxa"/>
              <w:start w:w="120" w:type="dxa"/>
              <w:bottom w:w="120" w:type="dxa"/>
              <w:end w:w="120" w:type="dxa"/>
            </w:tcMar>
          </w:tcPr>
          <w:p>
            <w:r>
              <w:rPr>
                <w:b/>
              </w:rPr>
              <w:t>Position</w:t>
              <w:br/>
              <w:br/>
            </w:r>
          </w:p>
        </w:tc>
        <w:tc>
          <w:tcPr>
            <w:tcW w:type="dxa" w:w="4939"/>
            <w:tcMar>
              <w:top w:w="120" w:type="dxa"/>
              <w:start w:w="120" w:type="dxa"/>
              <w:bottom w:w="120" w:type="dxa"/>
              <w:end w:w="120" w:type="dxa"/>
            </w:tcMar>
          </w:tcPr>
          <w:p>
            <w:r>
              <w:t>Position</w:t>
              <w:br/>
              <w:br/>
            </w:r>
          </w:p>
        </w:tc>
      </w:tr>
      <w:tr>
        <w:tc>
          <w:tcPr>
            <w:tcW w:type="dxa" w:w="4939"/>
            <w:shd w:fill="F3ECF7"/>
            <w:tcMar>
              <w:top w:w="120" w:type="dxa"/>
              <w:start w:w="120" w:type="dxa"/>
              <w:bottom w:w="120" w:type="dxa"/>
              <w:end w:w="120" w:type="dxa"/>
            </w:tcMar>
          </w:tcPr>
          <w:p>
            <w:r>
              <w:rPr>
                <w:b/>
              </w:rPr>
              <w:t>Signature</w:t>
              <w:br/>
              <w:br/>
            </w:r>
          </w:p>
        </w:tc>
        <w:tc>
          <w:tcPr>
            <w:tcW w:type="dxa" w:w="4939"/>
            <w:tcMar>
              <w:top w:w="120" w:type="dxa"/>
              <w:start w:w="120" w:type="dxa"/>
              <w:bottom w:w="120" w:type="dxa"/>
              <w:end w:w="120" w:type="dxa"/>
            </w:tcMar>
          </w:tcPr>
          <w:p>
            <w:r>
              <w:t>Signature</w:t>
              <w:br/>
              <w:br/>
            </w:r>
          </w:p>
        </w:tc>
      </w:tr>
      <w:tr>
        <w:tc>
          <w:tcPr>
            <w:tcW w:type="dxa" w:w="4939"/>
            <w:shd w:fill="F3ECF7"/>
            <w:tcMar>
              <w:top w:w="120" w:type="dxa"/>
              <w:start w:w="120" w:type="dxa"/>
              <w:bottom w:w="120" w:type="dxa"/>
              <w:end w:w="120" w:type="dxa"/>
            </w:tcMar>
          </w:tcPr>
          <w:p>
            <w:r>
              <w:rPr>
                <w:b/>
              </w:rPr>
              <w:t>Date</w:t>
              <w:br/>
              <w:br/>
            </w:r>
          </w:p>
        </w:tc>
        <w:tc>
          <w:tcPr>
            <w:tcW w:type="dxa" w:w="4939"/>
            <w:tcMar>
              <w:top w:w="120" w:type="dxa"/>
              <w:start w:w="120" w:type="dxa"/>
              <w:bottom w:w="120" w:type="dxa"/>
              <w:end w:w="120" w:type="dxa"/>
            </w:tcMar>
          </w:tcPr>
          <w:p>
            <w:r>
              <w:t>Date</w:t>
              <w:br/>
              <w:br/>
            </w:r>
          </w:p>
        </w:tc>
      </w:tr>
      <w:tr>
        <w:tc>
          <w:tcPr>
            <w:tcW w:type="dxa" w:w="4939"/>
            <w:shd w:fill="F3ECF7"/>
            <w:tcMar>
              <w:top w:w="120" w:type="dxa"/>
              <w:start w:w="120" w:type="dxa"/>
              <w:bottom w:w="120" w:type="dxa"/>
              <w:end w:w="120" w:type="dxa"/>
            </w:tcMar>
          </w:tcPr>
          <w:p>
            <w:r>
              <w:rPr>
                <w:b/>
              </w:rPr>
              <w:t>Witness name and signature</w:t>
              <w:br/>
              <w:br/>
            </w:r>
          </w:p>
        </w:tc>
        <w:tc>
          <w:tcPr>
            <w:tcW w:type="dxa" w:w="4939"/>
            <w:tcMar>
              <w:top w:w="120" w:type="dxa"/>
              <w:start w:w="120" w:type="dxa"/>
              <w:bottom w:w="120" w:type="dxa"/>
              <w:end w:w="120" w:type="dxa"/>
            </w:tcMar>
          </w:tcPr>
          <w:p>
            <w:r>
              <w:t>Witness name and signature</w:t>
              <w:br/>
              <w:br/>
            </w:r>
          </w:p>
        </w:tc>
      </w:tr>
    </w:tbl>
    <w:p>
      <w:pPr>
        <w:pStyle w:val="Heading1"/>
      </w:pPr>
      <w:r>
        <w:t>Document control</w:t>
      </w:r>
    </w:p>
    <w:p>
      <w:r>
        <w:t>Draft version 0.1 · Prepared 9 September 2026 · Owner Care West Pty Ltd · Next action Australian technology and privacy solicitor review</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tblPr>
    <w:tblGrid>
      <w:gridCol w:w="3288"/>
      <w:gridCol w:w="3288"/>
      <w:gridCol w:w="3288"/>
    </w:tblGrid>
    <w:tr>
      <w:tc>
        <w:tcPr>
          <w:tcW w:type="dxa" w:w="3288"/>
        </w:tcPr>
        <w:p>
          <w:pPr>
            <w:jc w:val="left"/>
          </w:pPr>
          <w:r>
            <w:rPr>
              <w:sz w:val="16"/>
            </w:rPr>
            <w:t>Care West Pty Ltd</w:t>
          </w:r>
        </w:p>
      </w:tc>
      <w:tc>
        <w:tcPr>
          <w:tcW w:type="dxa" w:w="3288"/>
        </w:tcPr>
        <w:p>
          <w:pPr>
            <w:jc w:val="center"/>
          </w:pPr>
          <w:r>
            <w:rPr>
              <w:sz w:val="16"/>
            </w:rPr>
            <w:t>Draft version 0.1</w:t>
          </w:r>
        </w:p>
      </w:tc>
      <w:tc>
        <w:tcPr>
          <w:tcW w:type="dxa" w:w="3288"/>
        </w:tcPr>
        <w:p>
          <w:pPr>
            <w:jc w:val="right"/>
          </w:pPr>
          <w:r>
            <w:rPr>
              <w:sz w:val="16"/>
            </w:rPr>
            <w:t>Solicitor review required</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Pr>
    <w:tblGrid>
      <w:gridCol w:w="4932"/>
      <w:gridCol w:w="4932"/>
    </w:tblGrid>
    <w:tr>
      <w:tc>
        <w:tcPr>
          <w:tcW w:type="dxa" w:w="4932"/>
        </w:tcPr>
        <w:p>
          <w:r>
            <w:rPr>
              <w:b/>
              <w:color w:val="52266A"/>
            </w:rPr>
            <w:t>CARE WEST FLOW</w:t>
          </w:r>
        </w:p>
      </w:tc>
      <w:tc>
        <w:tcPr>
          <w:tcW w:type="dxa" w:w="4932"/>
        </w:tcPr>
        <w:p>
          <w:pPr>
            <w:jc w:val="right"/>
          </w:pPr>
          <w:r>
            <w:t>Customer Agreement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6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